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Zienswijze UPLG – gebaseerd op zienswijze Agractie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Van: [Naam indiener/ groep]</w:t>
      </w:r>
    </w:p>
    <w:p w:rsidR="00000000" w:rsidDel="00000000" w:rsidP="00000000" w:rsidRDefault="00000000" w:rsidRPr="00000000" w14:paraId="00000004">
      <w:pPr>
        <w:rPr/>
      </w:pPr>
      <w:r w:rsidDel="00000000" w:rsidR="00000000" w:rsidRPr="00000000">
        <w:rPr>
          <w:rtl w:val="0"/>
        </w:rPr>
        <w:t xml:space="preserve">Aan: Gedeputeerde Staten van de provincie Utrecht</w:t>
      </w:r>
    </w:p>
    <w:p w:rsidR="00000000" w:rsidDel="00000000" w:rsidP="00000000" w:rsidRDefault="00000000" w:rsidRPr="00000000" w14:paraId="00000005">
      <w:pPr>
        <w:rPr/>
      </w:pPr>
      <w:r w:rsidDel="00000000" w:rsidR="00000000" w:rsidRPr="00000000">
        <w:rPr>
          <w:rtl w:val="0"/>
        </w:rPr>
        <w:t xml:space="preserve">Datum: [Datum]</w:t>
      </w:r>
    </w:p>
    <w:p w:rsidR="00000000" w:rsidDel="00000000" w:rsidP="00000000" w:rsidRDefault="00000000" w:rsidRPr="00000000" w14:paraId="00000006">
      <w:pPr>
        <w:rPr/>
      </w:pPr>
      <w:r w:rsidDel="00000000" w:rsidR="00000000" w:rsidRPr="00000000">
        <w:rPr>
          <w:rtl w:val="0"/>
        </w:rPr>
        <w:t xml:space="preserve">Onderwerp: Zienswijze op het ontwerp UPLG</w:t>
      </w:r>
    </w:p>
    <w:p w:rsidR="00000000" w:rsidDel="00000000" w:rsidP="00000000" w:rsidRDefault="00000000" w:rsidRPr="00000000" w14:paraId="00000007">
      <w:pPr>
        <w:rPr>
          <w:b w:val="1"/>
          <w:bCs w:val="1"/>
        </w:rPr>
      </w:pPr>
      <w:r w:rsidDel="00000000" w:rsidR="00000000" w:rsidRPr="00000000">
        <w:rPr>
          <w:b w:val="1"/>
          <w:bCs w:val="1"/>
          <w:rtl w:val="0"/>
        </w:rPr>
        <w:t xml:space="preserve">1. Inleiding</w:t>
      </w:r>
    </w:p>
    <w:p w:rsidR="00000000" w:rsidDel="00000000" w:rsidP="00000000" w:rsidRDefault="00000000" w:rsidRPr="00000000" w14:paraId="00000008">
      <w:pPr>
        <w:rPr/>
      </w:pPr>
      <w:r w:rsidDel="00000000" w:rsidR="00000000" w:rsidRPr="00000000">
        <w:rPr>
          <w:rtl w:val="0"/>
        </w:rPr>
        <w:t xml:space="preserve">Ondergetekende dient hierbij een zienswijze in op het ontwerp UPLG en de bijbehorende documenten. </w:t>
      </w:r>
    </w:p>
    <w:p w:rsidR="00000000" w:rsidDel="00000000" w:rsidP="00000000" w:rsidRDefault="00000000" w:rsidRPr="00000000" w14:paraId="00000009">
      <w:pPr>
        <w:rPr/>
      </w:pPr>
      <w:r w:rsidDel="00000000" w:rsidR="00000000" w:rsidRPr="00000000">
        <w:rPr>
          <w:rtl w:val="0"/>
        </w:rPr>
        <w:t xml:space="preserve">Wij onderschrijven in hoofdlijnen de kritiek en voorstellen zoals die door Agractie zijn ingebracht. </w:t>
      </w:r>
    </w:p>
    <w:p w:rsidR="00000000" w:rsidDel="00000000" w:rsidP="00000000" w:rsidRDefault="00000000" w:rsidRPr="00000000" w14:paraId="0000000A">
      <w:pPr>
        <w:rPr/>
      </w:pPr>
      <w:r w:rsidDel="00000000" w:rsidR="00000000" w:rsidRPr="00000000">
        <w:rPr>
          <w:rtl w:val="0"/>
        </w:rPr>
        <w:t xml:space="preserve">Daarnaast lichten wij hieronder onze eigen situatie en visie toe.</w:t>
      </w:r>
    </w:p>
    <w:p w:rsidR="00000000" w:rsidDel="00000000" w:rsidP="00000000" w:rsidRDefault="00000000" w:rsidRPr="00000000" w14:paraId="0000000B">
      <w:pPr>
        <w:rPr/>
      </w:pPr>
      <w:r w:rsidDel="00000000" w:rsidR="00000000" w:rsidRPr="00000000">
        <w:rPr>
          <w:rtl w:val="0"/>
        </w:rPr>
        <w:t xml:space="preserve">[AANVULLEN: wie u bent, waar u zit, wat uw belang is.]</w:t>
      </w:r>
    </w:p>
    <w:p w:rsidR="00000000" w:rsidDel="00000000" w:rsidP="00000000" w:rsidRDefault="00000000" w:rsidRPr="00000000" w14:paraId="0000000C">
      <w:pPr>
        <w:rPr/>
      </w:pPr>
      <w:r w:rsidDel="00000000" w:rsidR="00000000" w:rsidRPr="00000000">
        <w:rPr>
          <w:i w:val="1"/>
          <w:iCs w:val="1"/>
          <w:rtl w:val="0"/>
        </w:rPr>
        <w:t xml:space="preserve">Voorbeeld: Ondergetekende is gevestigd in [plaats/gebied] en wordt direct geraakt door de voorgestelde maatregelen in het ontwerp UPLG.</w:t>
      </w: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2. Waarom het ontwerp UPLG prematuur is</w:t>
      </w:r>
    </w:p>
    <w:p w:rsidR="00000000" w:rsidDel="00000000" w:rsidP="00000000" w:rsidRDefault="00000000" w:rsidRPr="00000000" w14:paraId="0000000E">
      <w:pPr>
        <w:rPr/>
      </w:pPr>
      <w:r w:rsidDel="00000000" w:rsidR="00000000" w:rsidRPr="00000000">
        <w:rPr>
          <w:rtl w:val="0"/>
        </w:rPr>
        <w:t xml:space="preserve">Het ontwerp UPLG loopt vooruit op landelijke kaders die nog niet zijn vastgesteld. Het NPLG is vervallen en de nieuwe Nota Ruimte is nog niet definitief. Toch gebruikt de provincie de oude uitgangspunten als basis voor ingrijpend beleid. </w:t>
      </w:r>
    </w:p>
    <w:p w:rsidR="00000000" w:rsidDel="00000000" w:rsidP="00000000" w:rsidRDefault="00000000" w:rsidRPr="00000000" w14:paraId="0000000F">
      <w:pPr>
        <w:rPr/>
      </w:pPr>
      <w:r w:rsidDel="00000000" w:rsidR="00000000" w:rsidRPr="00000000">
        <w:rPr>
          <w:rtl w:val="0"/>
        </w:rPr>
        <w:t xml:space="preserve">Daarmee ontbreekt een solide landelijke en juridische basis voor de voorgestelde maatregelen die grote invloed zullen hebben op het landelijk gebied.</w:t>
      </w:r>
    </w:p>
    <w:p w:rsidR="00000000" w:rsidDel="00000000" w:rsidP="00000000" w:rsidRDefault="00000000" w:rsidRPr="00000000" w14:paraId="00000010">
      <w:pPr>
        <w:rPr/>
      </w:pPr>
      <w:r w:rsidDel="00000000" w:rsidR="00000000" w:rsidRPr="00000000">
        <w:rPr>
          <w:rtl w:val="0"/>
        </w:rPr>
        <w:t xml:space="preserve">[AANVULLEN: wat dit betekent voor uw gebied of bedrijf.]</w:t>
      </w:r>
    </w:p>
    <w:p w:rsidR="00000000" w:rsidDel="00000000" w:rsidP="00000000" w:rsidRDefault="00000000" w:rsidRPr="00000000" w14:paraId="00000011">
      <w:pPr>
        <w:rPr/>
      </w:pPr>
      <w:r w:rsidDel="00000000" w:rsidR="00000000" w:rsidRPr="00000000">
        <w:rPr>
          <w:i w:val="1"/>
          <w:iCs w:val="1"/>
          <w:rtl w:val="0"/>
        </w:rPr>
        <w:t xml:space="preserve">Voorbeeld: In mijn situatie betekent dit dat uitbreiding, legalisatie of verduurzaming juridisch onmogelijk blijft.</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3. Stikstofbeleid lost het vergunningenslot niet op</w:t>
      </w:r>
    </w:p>
    <w:p w:rsidR="00000000" w:rsidDel="00000000" w:rsidP="00000000" w:rsidRDefault="00000000" w:rsidRPr="00000000" w14:paraId="00000013">
      <w:pPr>
        <w:rPr/>
      </w:pPr>
      <w:r w:rsidDel="00000000" w:rsidR="00000000" w:rsidRPr="00000000">
        <w:rPr>
          <w:rtl w:val="0"/>
        </w:rPr>
        <w:t xml:space="preserve">Het stikstofbeleid in het ontwerp UPLG biedt geen juridische garantie dat vergunningverlening weer mogelijk wordt. </w:t>
      </w:r>
    </w:p>
    <w:p w:rsidR="00000000" w:rsidDel="00000000" w:rsidP="00000000" w:rsidRDefault="00000000" w:rsidRPr="00000000" w14:paraId="00000014">
      <w:pPr>
        <w:rPr/>
      </w:pPr>
      <w:r w:rsidDel="00000000" w:rsidR="00000000" w:rsidRPr="00000000">
        <w:rPr>
          <w:rtl w:val="0"/>
        </w:rPr>
        <w:t xml:space="preserve">Door de huidige uitleg van artikel 6 lid 3 Habitatrichtlijn geldt in Nederland al bij zeer kleine berekende deposities (boven 0,005 mol) een verplichting tot een passende beoordeling en het verkrijgen van een vergunning.</w:t>
      </w:r>
    </w:p>
    <w:p w:rsidR="00000000" w:rsidDel="00000000" w:rsidP="00000000" w:rsidRDefault="00000000" w:rsidRPr="00000000" w14:paraId="00000015">
      <w:pPr>
        <w:rPr/>
      </w:pPr>
      <w:r w:rsidDel="00000000" w:rsidR="00000000" w:rsidRPr="00000000">
        <w:rPr>
          <w:rtl w:val="0"/>
        </w:rPr>
        <w:t xml:space="preserve">De borging via het in de Omgevingsverordening opnemen van generieke emissieplafonds in 2035 (zowel voor de grondgebonden veehouderij als voor de niet-grondgebonden sectoren), de invoering van bufferzones met rigide maatregelen langs stikstofgevoelige Natura 2000 gebieden, de aanpak van een dertigtal bedrijven met een hoge berekende depositie en de aankoop van gronden in en langs Natura 2000 gebieden, verandert hier juridisch niets aan. Zolang KDW’s worden overschreden zullen reducties volledig ten goede moeten komen aan de natuur en kunnen deze niet gebruikt worden bij vergunningverlening.</w:t>
      </w:r>
    </w:p>
    <w:p w:rsidR="00000000" w:rsidDel="00000000" w:rsidP="00000000" w:rsidRDefault="00000000" w:rsidRPr="00000000" w14:paraId="00000016">
      <w:pPr>
        <w:rPr/>
      </w:pPr>
      <w:r w:rsidDel="00000000" w:rsidR="00000000" w:rsidRPr="00000000">
        <w:rPr>
          <w:rtl w:val="0"/>
        </w:rPr>
        <w:t xml:space="preserve">Agractie pleit daarom voor het inkaderen van het begrip ‘significante effecten’ in artikel 6 lid 3 van de Habitatrichtlijn door het invoeren van zogenoemde significantiestroken van 250 meter rond stikstofgevoelige habitats, waarmee bedrijfsontwikkeling buiten die stroken weer op gang kan komen en PAS melders, interimmers en anderen, die buiten hun schuld geen adequate vergunning hebben, gelegaliseerd kunnen orden. </w:t>
      </w:r>
    </w:p>
    <w:p w:rsidR="00000000" w:rsidDel="00000000" w:rsidP="00000000" w:rsidRDefault="00000000" w:rsidRPr="00000000" w14:paraId="00000017">
      <w:pPr>
        <w:rPr>
          <w:i w:val="1"/>
          <w:iCs w:val="1"/>
          <w:sz w:val="20"/>
          <w:szCs w:val="20"/>
        </w:rPr>
      </w:pPr>
      <w:r w:rsidDel="00000000" w:rsidR="00000000" w:rsidRPr="00000000">
        <w:rPr>
          <w:i w:val="1"/>
          <w:iCs w:val="1"/>
          <w:sz w:val="20"/>
          <w:szCs w:val="20"/>
          <w:rtl w:val="0"/>
        </w:rPr>
        <w:t xml:space="preserve">Artikel 6 lid 3: voor elk plan of project dat niet direct verband houdt met of nodig is voor het beheer van het gebied, maar afzonderlijk of in combinatie met andere plannen of </w:t>
      </w:r>
      <w:r w:rsidDel="00000000" w:rsidR="00000000" w:rsidRPr="00000000">
        <w:rPr>
          <w:i w:val="1"/>
          <w:iCs w:val="1"/>
          <w:sz w:val="20"/>
          <w:szCs w:val="20"/>
          <w:u w:val="single"/>
          <w:rtl w:val="0"/>
        </w:rPr>
        <w:t xml:space="preserve">projecten significante gevolgen kan hebben</w:t>
      </w:r>
      <w:r w:rsidDel="00000000" w:rsidR="00000000" w:rsidRPr="00000000">
        <w:rPr>
          <w:i w:val="1"/>
          <w:iCs w:val="1"/>
          <w:sz w:val="20"/>
          <w:szCs w:val="20"/>
          <w:rtl w:val="0"/>
        </w:rPr>
        <w:t xml:space="preserve"> voor zo'n gebied, wordt een passende beoordeling gemaakt van de gevolgen voor het gebied, rekening houdend met de instandhoudingsdoelstellingen van dat gebied. Gelet op de conclusies van de beoordeling van de gevolgen voor het gebied en onder voorbehoud van het bepaalde in lid 4, geven de bevoegde nationale instanties slechts toestemming voor dat plan of project nadat zij de zekerheid hebben verkregen dat het de natuurlijke kenmerken van het betrokken gebied niet zal aantasten en nadat zij in voorkomend geval inspraakmogelijkheden hebben geboden.</w:t>
      </w:r>
    </w:p>
    <w:p w:rsidR="00000000" w:rsidDel="00000000" w:rsidP="00000000" w:rsidRDefault="00000000" w:rsidRPr="00000000" w14:paraId="00000018">
      <w:pPr>
        <w:rPr/>
      </w:pPr>
      <w:r w:rsidDel="00000000" w:rsidR="00000000" w:rsidRPr="00000000">
        <w:rPr>
          <w:rtl w:val="0"/>
        </w:rPr>
        <w:t xml:space="preserve">NB Agractie hecht eraan te benadrukken dat significanties stroken principieel iets anders zijn dan de bufferzones van de provincie.</w:t>
      </w:r>
    </w:p>
    <w:p w:rsidR="00000000" w:rsidDel="00000000" w:rsidP="00000000" w:rsidRDefault="00000000" w:rsidRPr="00000000" w14:paraId="00000019">
      <w:pPr>
        <w:rPr/>
      </w:pPr>
      <w:r w:rsidDel="00000000" w:rsidR="00000000" w:rsidRPr="00000000">
        <w:rPr>
          <w:rtl w:val="0"/>
        </w:rPr>
        <w:t xml:space="preserve">[AANVULLEN: knelpunten rond vergunningen in uw situatie.]</w:t>
      </w:r>
    </w:p>
    <w:p w:rsidR="00000000" w:rsidDel="00000000" w:rsidP="00000000" w:rsidRDefault="00000000" w:rsidRPr="00000000" w14:paraId="0000001A">
      <w:pPr>
        <w:rPr/>
      </w:pPr>
      <w:r w:rsidDel="00000000" w:rsidR="00000000" w:rsidRPr="00000000">
        <w:rPr>
          <w:i w:val="1"/>
          <w:iCs w:val="1"/>
          <w:rtl w:val="0"/>
        </w:rPr>
        <w:t xml:space="preserve">Voorbeeld: In mijn situatie betekent dit dat uitbreiding, legalisatie of verduurzaming juridisch onmogelijk blijft.</w:t>
      </w: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4. Onvoldoende basis: NDA’s en KDW</w:t>
      </w:r>
    </w:p>
    <w:p w:rsidR="00000000" w:rsidDel="00000000" w:rsidP="00000000" w:rsidRDefault="00000000" w:rsidRPr="00000000" w14:paraId="0000001C">
      <w:pPr>
        <w:rPr/>
      </w:pPr>
      <w:r w:rsidDel="00000000" w:rsidR="00000000" w:rsidRPr="00000000">
        <w:rPr>
          <w:rtl w:val="0"/>
        </w:rPr>
        <w:t xml:space="preserve">Het stikstofbeleid in het ontwerp UPLG  is grotendeels gebaseerd op Natuurdoelanalyses (NDA’s) die uitgaan overschrijding van KDW’s op basis van modelberekeningen, zonder aantoonbare verslechtering van de natuur ten opzichte van referentiejaren.</w:t>
      </w:r>
    </w:p>
    <w:p w:rsidR="00000000" w:rsidDel="00000000" w:rsidP="00000000" w:rsidRDefault="00000000" w:rsidRPr="00000000" w14:paraId="0000001D">
      <w:pPr>
        <w:rPr/>
      </w:pPr>
      <w:r w:rsidDel="00000000" w:rsidR="00000000" w:rsidRPr="00000000">
        <w:rPr>
          <w:rtl w:val="0"/>
        </w:rPr>
        <w:t xml:space="preserve">Zelfs de Ecologische Autoriteit erkent tekortkomingen in deze analyses. Toch worden op deze basis zeer vergaande maatregelen opgelegd aan landbouw en landelijk gebied.</w:t>
      </w:r>
    </w:p>
    <w:p w:rsidR="00000000" w:rsidDel="00000000" w:rsidP="00000000" w:rsidRDefault="00000000" w:rsidRPr="00000000" w14:paraId="0000001E">
      <w:pPr>
        <w:rPr/>
      </w:pPr>
      <w:r w:rsidDel="00000000" w:rsidR="00000000" w:rsidRPr="00000000">
        <w:rPr>
          <w:rtl w:val="0"/>
        </w:rPr>
        <w:t xml:space="preserve">[AANVULLEN: hoe dit in uw gebied uitpakt.]</w:t>
      </w:r>
    </w:p>
    <w:p w:rsidR="00000000" w:rsidDel="00000000" w:rsidP="00000000" w:rsidRDefault="00000000" w:rsidRPr="00000000" w14:paraId="0000001F">
      <w:pPr>
        <w:rPr/>
      </w:pPr>
      <w:r w:rsidDel="00000000" w:rsidR="00000000" w:rsidRPr="00000000">
        <w:rPr>
          <w:i w:val="1"/>
          <w:iCs w:val="1"/>
          <w:rtl w:val="0"/>
        </w:rPr>
        <w:t xml:space="preserve">Voorbeeld: In ons gebied is geen aantoonbare verslechtering van natuur vastgesteld, terwijl wel zware beperkingen worden opgelegd.</w: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5. Disproportionele maatregelen en bufferzones</w:t>
      </w:r>
    </w:p>
    <w:p w:rsidR="00000000" w:rsidDel="00000000" w:rsidP="00000000" w:rsidRDefault="00000000" w:rsidRPr="00000000" w14:paraId="00000021">
      <w:pPr>
        <w:rPr/>
      </w:pPr>
      <w:r w:rsidDel="00000000" w:rsidR="00000000" w:rsidRPr="00000000">
        <w:rPr>
          <w:rtl w:val="0"/>
        </w:rPr>
        <w:t xml:space="preserve">De provincie kiest voor bufferzones van 250 meter rond stikstofgevoelige Natura 2000 gebieden met vergaande gebruiksbeperkingen. Daardoor wordt landbouw binnen deze zones feitelijk onmogelijk gemaakt. </w:t>
      </w:r>
    </w:p>
    <w:p w:rsidR="00000000" w:rsidDel="00000000" w:rsidP="00000000" w:rsidRDefault="00000000" w:rsidRPr="00000000" w14:paraId="00000022">
      <w:pPr>
        <w:rPr/>
      </w:pPr>
      <w:r w:rsidDel="00000000" w:rsidR="00000000" w:rsidRPr="00000000">
        <w:rPr>
          <w:rtl w:val="0"/>
        </w:rPr>
        <w:t xml:space="preserve">Hetzelfde geldt voor de uitbreiding van Natura 2000 gebieden met gronden in als rondom Natura 2000 gebieden waarbij voor essentiële percelen onteigening niet uitgesloten is.</w:t>
      </w:r>
    </w:p>
    <w:p w:rsidR="00000000" w:rsidDel="00000000" w:rsidP="00000000" w:rsidRDefault="00000000" w:rsidRPr="00000000" w14:paraId="00000023">
      <w:pPr>
        <w:rPr/>
      </w:pPr>
      <w:r w:rsidDel="00000000" w:rsidR="00000000" w:rsidRPr="00000000">
        <w:rPr>
          <w:rtl w:val="0"/>
        </w:rPr>
        <w:t xml:space="preserve">Agractie pleit voor vrijwillige emissiereductie binnen de significantiestroken volgens het ‘trappetje van Remkes’: innovatie, extensivering, verplaatsing, omschakeling en beëindiging, met compensatie en behoud van agrarisch gebruik. Buiten de stroken is in de ogen van Agractie sinds 2018 al sprake van een gestage daling van de emissie van ammoniak door productieplafonds, opkoop en afroming. Verdergaande emissiereductie kan – waar dat bewezen effectief is - bereikt worden door het stimuleren van managementaanpassingen en innovatie.</w:t>
      </w:r>
    </w:p>
    <w:p w:rsidR="00000000" w:rsidDel="00000000" w:rsidP="00000000" w:rsidRDefault="00000000" w:rsidRPr="00000000" w14:paraId="00000024">
      <w:pPr>
        <w:rPr/>
      </w:pPr>
      <w:r w:rsidDel="00000000" w:rsidR="00000000" w:rsidRPr="00000000">
        <w:rPr>
          <w:rtl w:val="0"/>
        </w:rPr>
        <w:t xml:space="preserve">[AANVULLEN: effecten van zones voor uw bedrijf/omgeving.]</w:t>
      </w:r>
    </w:p>
    <w:p w:rsidR="00000000" w:rsidDel="00000000" w:rsidP="00000000" w:rsidRDefault="00000000" w:rsidRPr="00000000" w14:paraId="00000025">
      <w:pPr>
        <w:rPr/>
      </w:pPr>
      <w:r w:rsidDel="00000000" w:rsidR="00000000" w:rsidRPr="00000000">
        <w:rPr>
          <w:i w:val="1"/>
          <w:iCs w:val="1"/>
          <w:rtl w:val="0"/>
        </w:rPr>
        <w:t xml:space="preserve">Voorbeeld: In de bufferzones wordt door de maatregelen van de provincie normaal agrarisch gebruik feitelijk onmogelijk gemaakt zonder realistisch alternatief.</w:t>
      </w: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6. Gebrek aan belangenafweging</w:t>
      </w:r>
    </w:p>
    <w:p w:rsidR="00000000" w:rsidDel="00000000" w:rsidP="00000000" w:rsidRDefault="00000000" w:rsidRPr="00000000" w14:paraId="00000027">
      <w:pPr>
        <w:rPr/>
      </w:pPr>
      <w:r w:rsidDel="00000000" w:rsidR="00000000" w:rsidRPr="00000000">
        <w:rPr>
          <w:rtl w:val="0"/>
        </w:rPr>
        <w:t xml:space="preserve">Volgens artikel 2 lid 3 van de Habitatrichtlijn moet bij maatregelen om te komen tot behoud en/of verbetering van de natuur in Natura 2000 gebieden rekening worden gehouden met economische, sociale en culturele belangen. </w:t>
      </w:r>
    </w:p>
    <w:p w:rsidR="00000000" w:rsidDel="00000000" w:rsidP="00000000" w:rsidRDefault="00000000" w:rsidRPr="00000000" w14:paraId="00000028">
      <w:pPr>
        <w:rPr>
          <w:i w:val="1"/>
          <w:iCs w:val="1"/>
          <w:sz w:val="20"/>
          <w:szCs w:val="20"/>
        </w:rPr>
      </w:pPr>
      <w:r w:rsidDel="00000000" w:rsidR="00000000" w:rsidRPr="00000000">
        <w:rPr>
          <w:i w:val="1"/>
          <w:iCs w:val="1"/>
          <w:sz w:val="20"/>
          <w:szCs w:val="20"/>
          <w:rtl w:val="0"/>
        </w:rPr>
        <w:t xml:space="preserve">Artikel 2 lid 3: in de op grond van deze richtlijn genomen maatregelen wordt rekening gehouden met de vereisten op economisch, sociaal en cultureel gebied, en met de regionale en lokale bijzonderheden.</w:t>
      </w:r>
    </w:p>
    <w:p w:rsidR="00000000" w:rsidDel="00000000" w:rsidP="00000000" w:rsidRDefault="00000000" w:rsidRPr="00000000" w14:paraId="00000029">
      <w:pPr>
        <w:rPr/>
      </w:pPr>
      <w:r w:rsidDel="00000000" w:rsidR="00000000" w:rsidRPr="00000000">
        <w:rPr>
          <w:rtl w:val="0"/>
        </w:rPr>
        <w:t xml:space="preserve">In het ontwerp UPLG ontbreekt een evenwichtige afweging tussen natuurdoelen en:</w:t>
      </w:r>
    </w:p>
    <w:p w:rsidR="00000000" w:rsidDel="00000000" w:rsidP="00000000" w:rsidRDefault="00000000" w:rsidRPr="00000000" w14:paraId="0000002A">
      <w:pPr>
        <w:rPr/>
      </w:pPr>
      <w:r w:rsidDel="00000000" w:rsidR="00000000" w:rsidRPr="00000000">
        <w:rPr>
          <w:rtl w:val="0"/>
        </w:rPr>
        <w:t xml:space="preserve">- voedselproductie,</w:t>
      </w:r>
    </w:p>
    <w:p w:rsidR="00000000" w:rsidDel="00000000" w:rsidP="00000000" w:rsidRDefault="00000000" w:rsidRPr="00000000" w14:paraId="0000002B">
      <w:pPr>
        <w:rPr/>
      </w:pPr>
      <w:r w:rsidDel="00000000" w:rsidR="00000000" w:rsidRPr="00000000">
        <w:rPr>
          <w:rtl w:val="0"/>
        </w:rPr>
        <w:t xml:space="preserve">- economie en werkgelegenheid,</w:t>
      </w:r>
    </w:p>
    <w:p w:rsidR="00000000" w:rsidDel="00000000" w:rsidP="00000000" w:rsidRDefault="00000000" w:rsidRPr="00000000" w14:paraId="0000002C">
      <w:pPr>
        <w:rPr/>
      </w:pPr>
      <w:r w:rsidDel="00000000" w:rsidR="00000000" w:rsidRPr="00000000">
        <w:rPr>
          <w:rtl w:val="0"/>
        </w:rPr>
        <w:t xml:space="preserve">- leefbaarheid van het platteland,</w:t>
      </w:r>
    </w:p>
    <w:p w:rsidR="00000000" w:rsidDel="00000000" w:rsidP="00000000" w:rsidRDefault="00000000" w:rsidRPr="00000000" w14:paraId="0000002D">
      <w:pPr>
        <w:rPr/>
      </w:pPr>
      <w:r w:rsidDel="00000000" w:rsidR="00000000" w:rsidRPr="00000000">
        <w:rPr>
          <w:rtl w:val="0"/>
        </w:rPr>
        <w:t xml:space="preserve">- perspectief voor ondernemers.</w:t>
      </w:r>
    </w:p>
    <w:p w:rsidR="00000000" w:rsidDel="00000000" w:rsidP="00000000" w:rsidRDefault="00000000" w:rsidRPr="00000000" w14:paraId="0000002E">
      <w:pPr>
        <w:rPr/>
      </w:pPr>
      <w:r w:rsidDel="00000000" w:rsidR="00000000" w:rsidRPr="00000000">
        <w:rPr>
          <w:rtl w:val="0"/>
        </w:rPr>
        <w:t xml:space="preserve">Er is bovendien geen volledige sociaaleconomische impactanalyse uitgevoerd.</w:t>
      </w:r>
    </w:p>
    <w:p w:rsidR="00000000" w:rsidDel="00000000" w:rsidP="00000000" w:rsidRDefault="00000000" w:rsidRPr="00000000" w14:paraId="0000002F">
      <w:pPr>
        <w:rPr/>
      </w:pPr>
      <w:r w:rsidDel="00000000" w:rsidR="00000000" w:rsidRPr="00000000">
        <w:rPr>
          <w:rtl w:val="0"/>
        </w:rPr>
        <w:t xml:space="preserve">[AANVULLEN: lokale gevolgen voor economie en leefbaarheid.]</w:t>
      </w:r>
    </w:p>
    <w:p w:rsidR="00000000" w:rsidDel="00000000" w:rsidP="00000000" w:rsidRDefault="00000000" w:rsidRPr="00000000" w14:paraId="00000030">
      <w:pPr>
        <w:rPr/>
      </w:pPr>
      <w:r w:rsidDel="00000000" w:rsidR="00000000" w:rsidRPr="00000000">
        <w:rPr>
          <w:i w:val="1"/>
          <w:iCs w:val="1"/>
          <w:rtl w:val="0"/>
        </w:rPr>
        <w:t xml:space="preserve">Voorbeeld: Het ontwerp houdt onvoldoende rekening met werkgelegenheid, voedselproductie en leefbaarheid van het platteland.</w:t>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7. Water, bodem en veenweide</w:t>
      </w:r>
    </w:p>
    <w:p w:rsidR="00000000" w:rsidDel="00000000" w:rsidP="00000000" w:rsidRDefault="00000000" w:rsidRPr="00000000" w14:paraId="00000032">
      <w:pPr>
        <w:rPr/>
      </w:pPr>
      <w:r w:rsidDel="00000000" w:rsidR="00000000" w:rsidRPr="00000000">
        <w:rPr>
          <w:rtl w:val="0"/>
        </w:rPr>
        <w:t xml:space="preserve">De provincie zet extra provinciale koppen op Europees beleid, onder andere bij waterpeilen in veenweidegebieden. Peilverhoging heeft grote gevolgen voor bedrijfsvoering, emissies, weidegang en weidevogelbeheer.</w:t>
      </w:r>
    </w:p>
    <w:p w:rsidR="00000000" w:rsidDel="00000000" w:rsidP="00000000" w:rsidRDefault="00000000" w:rsidRPr="00000000" w14:paraId="00000033">
      <w:pPr>
        <w:rPr/>
      </w:pPr>
      <w:r w:rsidDel="00000000" w:rsidR="00000000" w:rsidRPr="00000000">
        <w:rPr>
          <w:rtl w:val="0"/>
        </w:rPr>
        <w:t xml:space="preserve">Besluitvorming over waterpeilen hoort primair bij de waterschappen plaats te vinden, met gebiedsprocessen en draagvlak.</w:t>
      </w:r>
    </w:p>
    <w:p w:rsidR="00000000" w:rsidDel="00000000" w:rsidP="00000000" w:rsidRDefault="00000000" w:rsidRPr="00000000" w14:paraId="00000034">
      <w:pPr>
        <w:rPr/>
      </w:pPr>
      <w:r w:rsidDel="00000000" w:rsidR="00000000" w:rsidRPr="00000000">
        <w:rPr>
          <w:rtl w:val="0"/>
        </w:rPr>
        <w:t xml:space="preserve">Ook de verwerving van gronden in een strook van 15 – 40 meter bij de beken in het oosten van de provincie om de beken weer te laten meanderen beschouwen wij als een Utrechtse kop op Europees beleid. Hetzelfde geldt bij de mogelijke aanwijzing van “brede beekdalen” van 100 – 250 meter met een extensiveringsverplichting.  </w:t>
      </w:r>
    </w:p>
    <w:p w:rsidR="00000000" w:rsidDel="00000000" w:rsidP="00000000" w:rsidRDefault="00000000" w:rsidRPr="00000000" w14:paraId="00000035">
      <w:pPr>
        <w:rPr/>
      </w:pPr>
      <w:r w:rsidDel="00000000" w:rsidR="00000000" w:rsidRPr="00000000">
        <w:rPr>
          <w:rtl w:val="0"/>
        </w:rPr>
        <w:t xml:space="preserve">[AANVULLEN: situatie water/bodem in uw gebied.]</w:t>
      </w:r>
    </w:p>
    <w:p w:rsidR="00000000" w:rsidDel="00000000" w:rsidP="00000000" w:rsidRDefault="00000000" w:rsidRPr="00000000" w14:paraId="00000036">
      <w:pPr>
        <w:rPr/>
      </w:pPr>
      <w:r w:rsidDel="00000000" w:rsidR="00000000" w:rsidRPr="00000000">
        <w:rPr>
          <w:i w:val="1"/>
          <w:iCs w:val="1"/>
          <w:rtl w:val="0"/>
        </w:rPr>
        <w:t xml:space="preserve">Voorbeeld: Peilverhoging leidt in mijn situatie tot beperkingen in weidegang, bewerking en bedrijfsvoering.</w:t>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8. Voorstellen en alternatieven</w:t>
      </w:r>
    </w:p>
    <w:p w:rsidR="00000000" w:rsidDel="00000000" w:rsidP="00000000" w:rsidRDefault="00000000" w:rsidRPr="00000000" w14:paraId="00000038">
      <w:pPr>
        <w:rPr/>
      </w:pPr>
      <w:r w:rsidDel="00000000" w:rsidR="00000000" w:rsidRPr="00000000">
        <w:rPr>
          <w:rtl w:val="0"/>
        </w:rPr>
        <w:t xml:space="preserve">Wij onderschrijven de lijn van Agractie, waaronder:</w:t>
      </w:r>
    </w:p>
    <w:p w:rsidR="00000000" w:rsidDel="00000000" w:rsidP="00000000" w:rsidRDefault="00000000" w:rsidRPr="00000000" w14:paraId="00000039">
      <w:pPr>
        <w:rPr/>
      </w:pPr>
      <w:r w:rsidDel="00000000" w:rsidR="00000000" w:rsidRPr="00000000">
        <w:rPr>
          <w:rtl w:val="0"/>
        </w:rPr>
        <w:t xml:space="preserve">- invoering van significantiestroken,</w:t>
      </w:r>
    </w:p>
    <w:p w:rsidR="00000000" w:rsidDel="00000000" w:rsidP="00000000" w:rsidRDefault="00000000" w:rsidRPr="00000000" w14:paraId="0000003A">
      <w:pPr>
        <w:rPr/>
      </w:pPr>
      <w:r w:rsidDel="00000000" w:rsidR="00000000" w:rsidRPr="00000000">
        <w:rPr>
          <w:rtl w:val="0"/>
        </w:rPr>
        <w:t xml:space="preserve">- werken met monitoring in plaats van modellen,</w:t>
      </w:r>
    </w:p>
    <w:p w:rsidR="00000000" w:rsidDel="00000000" w:rsidP="00000000" w:rsidRDefault="00000000" w:rsidRPr="00000000" w14:paraId="0000003B">
      <w:pPr>
        <w:rPr/>
      </w:pPr>
      <w:r w:rsidDel="00000000" w:rsidR="00000000" w:rsidRPr="00000000">
        <w:rPr>
          <w:rtl w:val="0"/>
        </w:rPr>
        <w:t xml:space="preserve">- vrijwillige emissiereductie met beloning,</w:t>
      </w:r>
    </w:p>
    <w:p w:rsidR="00000000" w:rsidDel="00000000" w:rsidP="00000000" w:rsidRDefault="00000000" w:rsidRPr="00000000" w14:paraId="0000003C">
      <w:pPr>
        <w:rPr/>
      </w:pPr>
      <w:r w:rsidDel="00000000" w:rsidR="00000000" w:rsidRPr="00000000">
        <w:rPr>
          <w:rtl w:val="0"/>
        </w:rPr>
        <w:t xml:space="preserve">- gebiedsgericht beleid,</w:t>
      </w:r>
    </w:p>
    <w:p w:rsidR="00000000" w:rsidDel="00000000" w:rsidP="00000000" w:rsidRDefault="00000000" w:rsidRPr="00000000" w14:paraId="0000003D">
      <w:pPr>
        <w:rPr/>
      </w:pPr>
      <w:r w:rsidDel="00000000" w:rsidR="00000000" w:rsidRPr="00000000">
        <w:rPr>
          <w:rtl w:val="0"/>
        </w:rPr>
        <w:t xml:space="preserve">- serieuze impactanalyse vooraf.</w:t>
      </w:r>
    </w:p>
    <w:p w:rsidR="00000000" w:rsidDel="00000000" w:rsidP="00000000" w:rsidRDefault="00000000" w:rsidRPr="00000000" w14:paraId="0000003E">
      <w:pPr>
        <w:rPr/>
      </w:pPr>
      <w:r w:rsidDel="00000000" w:rsidR="00000000" w:rsidRPr="00000000">
        <w:rPr>
          <w:rtl w:val="0"/>
        </w:rPr>
        <w:t xml:space="preserve">[AANVULLEN: uw eigen oplossingsrichtingen.]</w:t>
      </w:r>
    </w:p>
    <w:p w:rsidR="00000000" w:rsidDel="00000000" w:rsidP="00000000" w:rsidRDefault="00000000" w:rsidRPr="00000000" w14:paraId="0000003F">
      <w:pPr>
        <w:rPr/>
      </w:pPr>
      <w:r w:rsidDel="00000000" w:rsidR="00000000" w:rsidRPr="00000000">
        <w:rPr>
          <w:i w:val="1"/>
          <w:iCs w:val="1"/>
          <w:rtl w:val="0"/>
        </w:rPr>
        <w:t xml:space="preserve">Voorbeeld: Ik pleit voor gebiedsgericht beleid met beloning voor emissiereductie in plaats van generieke verboden.</w:t>
      </w: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9. Conclusie</w:t>
      </w:r>
    </w:p>
    <w:p w:rsidR="00000000" w:rsidDel="00000000" w:rsidP="00000000" w:rsidRDefault="00000000" w:rsidRPr="00000000" w14:paraId="00000041">
      <w:pPr>
        <w:rPr/>
      </w:pPr>
      <w:r w:rsidDel="00000000" w:rsidR="00000000" w:rsidRPr="00000000">
        <w:rPr>
          <w:rtl w:val="0"/>
        </w:rPr>
        <w:t xml:space="preserve">Het ontwerp UPLG is gebaseerd op ondeugdelijke uitgangspunten, bevat disproportionele maatregelen en mist een evenwichtige belangenafweging.</w:t>
      </w:r>
    </w:p>
    <w:p w:rsidR="00000000" w:rsidDel="00000000" w:rsidP="00000000" w:rsidRDefault="00000000" w:rsidRPr="00000000" w14:paraId="00000042">
      <w:pPr>
        <w:rPr/>
      </w:pPr>
      <w:r w:rsidDel="00000000" w:rsidR="00000000" w:rsidRPr="00000000">
        <w:rPr>
          <w:rtl w:val="0"/>
        </w:rPr>
        <w:t xml:space="preserve">Wij verzoeken de provincie het ontwerp UPLG niet vast te stellen in deze vorm en het plan terug te brengen naar de tekentafel, met ruimte voor realistisch, juridisch houdbaar en gebiedsgericht beleid.</w:t>
      </w:r>
    </w:p>
    <w:p w:rsidR="00000000" w:rsidDel="00000000" w:rsidP="00000000" w:rsidRDefault="00000000" w:rsidRPr="00000000" w14:paraId="00000043">
      <w:pPr>
        <w:rPr/>
      </w:pPr>
      <w:r w:rsidDel="00000000" w:rsidR="00000000" w:rsidRPr="00000000">
        <w:rPr>
          <w:i w:val="1"/>
          <w:iCs w:val="1"/>
          <w:rtl w:val="0"/>
        </w:rPr>
        <w:t xml:space="preserve">Voorbeeld: Ik verzoek de provincie het ontwerp UPLG niet vast te stellen en eerst samen met betrokkenen tot een werkbaar alternatief te komen.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Ondertekening</w:t>
      </w:r>
    </w:p>
    <w:p w:rsidR="00000000" w:rsidDel="00000000" w:rsidP="00000000" w:rsidRDefault="00000000" w:rsidRPr="00000000" w14:paraId="00000045">
      <w:pPr>
        <w:rPr/>
      </w:pPr>
      <w:r w:rsidDel="00000000" w:rsidR="00000000" w:rsidRPr="00000000">
        <w:rPr>
          <w:rtl w:val="0"/>
        </w:rPr>
        <w:t xml:space="preserve">Naam:</w:t>
      </w:r>
    </w:p>
    <w:p w:rsidR="00000000" w:rsidDel="00000000" w:rsidP="00000000" w:rsidRDefault="00000000" w:rsidRPr="00000000" w14:paraId="00000046">
      <w:pPr>
        <w:rPr/>
      </w:pPr>
      <w:r w:rsidDel="00000000" w:rsidR="00000000" w:rsidRPr="00000000">
        <w:rPr>
          <w:rtl w:val="0"/>
        </w:rPr>
        <w:t xml:space="preserve">Organisatie:</w:t>
      </w:r>
    </w:p>
    <w:p w:rsidR="00000000" w:rsidDel="00000000" w:rsidP="00000000" w:rsidRDefault="00000000" w:rsidRPr="00000000" w14:paraId="00000047">
      <w:pPr>
        <w:rPr/>
      </w:pPr>
      <w:r w:rsidDel="00000000" w:rsidR="00000000" w:rsidRPr="00000000">
        <w:rPr>
          <w:rtl w:val="0"/>
        </w:rPr>
        <w:t xml:space="preserve">Adres:</w:t>
      </w:r>
    </w:p>
    <w:p w:rsidR="00000000" w:rsidDel="00000000" w:rsidP="00000000" w:rsidRDefault="00000000" w:rsidRPr="00000000" w14:paraId="00000048">
      <w:pPr>
        <w:rPr/>
      </w:pPr>
      <w:r w:rsidDel="00000000" w:rsidR="00000000" w:rsidRPr="00000000">
        <w:rPr>
          <w:rtl w:val="0"/>
        </w:rPr>
        <w:t xml:space="preserve">Plaats en datum:</w:t>
      </w:r>
    </w:p>
    <w:p w:rsidR="00000000" w:rsidDel="00000000" w:rsidP="00000000" w:rsidRDefault="00000000" w:rsidRPr="00000000" w14:paraId="00000049">
      <w:pPr>
        <w:rPr/>
      </w:pPr>
      <w:r w:rsidDel="00000000" w:rsidR="00000000" w:rsidRPr="00000000">
        <w:rPr>
          <w:rtl w:val="0"/>
        </w:rPr>
        <w:t xml:space="preserve">Handtekening: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Manieren om uw zienswijze in te dienen:</w:t>
      </w:r>
    </w:p>
    <w:p w:rsidR="00000000" w:rsidDel="00000000" w:rsidP="00000000" w:rsidRDefault="00000000" w:rsidRPr="00000000" w14:paraId="0000004C">
      <w:pPr>
        <w:rPr/>
      </w:pPr>
      <w:r w:rsidDel="00000000" w:rsidR="00000000" w:rsidRPr="00000000">
        <w:rPr>
          <w:rtl w:val="0"/>
        </w:rPr>
        <w:t xml:space="preserve">Per brief aan de provincie Utrecht. Stuur deze brief naar: Provincie Utrecht, Postbus 80300, 3508 TH Utrecht of via mail naar </w:t>
      </w:r>
      <w:hyperlink r:id="rId6">
        <w:r w:rsidDel="00000000" w:rsidR="00000000" w:rsidRPr="00000000">
          <w:rPr>
            <w:color w:val="0000ff"/>
            <w:u w:val="single"/>
            <w:rtl w:val="0"/>
          </w:rPr>
          <w:t xml:space="preserve">landelijkgebied@provincie-utrecht.nl</w:t>
        </w:r>
      </w:hyperlink>
      <w:r w:rsidDel="00000000" w:rsidR="00000000" w:rsidRPr="00000000">
        <w:rPr>
          <w:rtl w:val="0"/>
        </w:rPr>
        <w:t xml:space="preserv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ndelijkgebied@provincie-utrech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